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Lesson 2: Early Hominins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8"/>
                <w:szCs w:val="48"/>
                <w:rtl w:val="0"/>
              </w:rPr>
              <w:t xml:space="preserve">hominin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an early ancestor of humans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8"/>
                <w:szCs w:val="48"/>
                <w:rtl w:val="0"/>
              </w:rPr>
              <w:t xml:space="preserve">anthropologist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a scientist who studies human development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8"/>
                <w:szCs w:val="48"/>
                <w:rtl w:val="0"/>
              </w:rPr>
              <w:t xml:space="preserve">capability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ability or skill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8"/>
                <w:szCs w:val="48"/>
                <w:rtl w:val="0"/>
              </w:rPr>
              <w:t xml:space="preserve">migrate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to move from one geographic region to another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