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 6 : Exploring Four Empires of Mesopotamia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city that is the center of the government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code of laws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collection of written laws and rules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economy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the way a region or country uses resources to produce and sell or trade goods and services to meet people’s needs and wants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empire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large territory in which several groups of people are ruled by a single leader of government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siege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a military blockade and attack on a city to force it to surrender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tribute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8"/>
                <w:szCs w:val="28"/>
                <w:rtl w:val="0"/>
              </w:rPr>
              <w:t xml:space="preserve">wealth sent from one country or ruler to another as a sign that the other is superior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