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6"/>
          <w:szCs w:val="36"/>
          <w:rtl w:val="0"/>
        </w:rPr>
        <w:t xml:space="preserve">Lesson 3 - From Hunters and Gatherers to Farmer</w:t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Paleolithic 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the first period of the Stone Age, called the Old Stone Age, from about 2 million years  ago to around 8000 B.C.E.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Neolithic 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the later part of the Stone Age, called the New Stone Age, lasted from around 8000 to 3000 B.C.E.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Fertile Crescent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an arc-shaped region in Southwest Asia, with rich soil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Catal Hoyuk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a Neolithic town discover in central Turkey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domesticate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to train a wild animal to be useful to humans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agriculture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the business of farming: growing crops and raising animals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nomad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one who moves from place to place with no permanent home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trade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the business of buying and selling or exchanging items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44"/>
                <w:szCs w:val="44"/>
                <w:rtl w:val="0"/>
              </w:rPr>
              <w:t xml:space="preserve">resource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sz w:val="30"/>
                <w:szCs w:val="3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30"/>
                <w:szCs w:val="30"/>
                <w:rtl w:val="0"/>
              </w:rPr>
              <w:t xml:space="preserve">something that can be used to fulfill a need</w:t>
            </w:r>
          </w:p>
        </w:tc>
      </w:tr>
    </w:tbl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